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4139D" w14:textId="42209CC7" w:rsidR="000A2540" w:rsidRDefault="00E76244" w:rsidP="00E76244">
      <w:pPr>
        <w:pStyle w:val="11"/>
        <w:jc w:val="left"/>
      </w:pPr>
      <w:bookmarkStart w:id="0" w:name="_Toc92748364"/>
      <w:r>
        <w:rPr>
          <w:rFonts w:hint="eastAsia"/>
        </w:rPr>
        <w:t>平说</w:t>
      </w:r>
      <w:r w:rsidR="001D77C9">
        <w:rPr>
          <w:rFonts w:hint="eastAsia"/>
        </w:rPr>
        <w:t>·</w:t>
      </w:r>
      <w:r w:rsidR="000A2540">
        <w:rPr>
          <w:rFonts w:hint="eastAsia"/>
        </w:rPr>
        <w:t>征文</w:t>
      </w:r>
      <w:r w:rsidR="005D7A06">
        <w:rPr>
          <w:rFonts w:hint="eastAsia"/>
        </w:rPr>
        <w:t>文稿</w:t>
      </w:r>
    </w:p>
    <w:p w14:paraId="014C0F30" w14:textId="77777777" w:rsidR="001D77C9" w:rsidRDefault="001D77C9" w:rsidP="00E76244">
      <w:pPr>
        <w:pStyle w:val="11"/>
        <w:jc w:val="left"/>
        <w:rPr>
          <w:rFonts w:hint="eastAsia"/>
        </w:rPr>
      </w:pPr>
    </w:p>
    <w:p w14:paraId="609973BC" w14:textId="7BD8B70A" w:rsidR="00E76244" w:rsidRDefault="00E76244" w:rsidP="00E76244">
      <w:pPr>
        <w:pStyle w:val="11"/>
      </w:pPr>
      <w:r w:rsidRPr="00566076">
        <w:rPr>
          <w:rFonts w:hint="eastAsia"/>
        </w:rPr>
        <w:t>基层海关行政执法视角下的</w:t>
      </w:r>
      <w:bookmarkStart w:id="1" w:name="_Hlk98747092"/>
      <w:r w:rsidRPr="00566076">
        <w:rPr>
          <w:rFonts w:hint="eastAsia"/>
        </w:rPr>
        <w:t>“首违不罚”</w:t>
      </w:r>
      <w:bookmarkEnd w:id="0"/>
      <w:bookmarkEnd w:id="1"/>
    </w:p>
    <w:p w14:paraId="79F9DB38" w14:textId="77777777" w:rsidR="00E76244" w:rsidRPr="00566076" w:rsidRDefault="00E76244" w:rsidP="00E76244">
      <w:pPr>
        <w:pStyle w:val="11"/>
      </w:pPr>
    </w:p>
    <w:p w14:paraId="015BF114" w14:textId="77777777" w:rsidR="00E76244" w:rsidRDefault="00E76244" w:rsidP="00E76244">
      <w:pPr>
        <w:pStyle w:val="a9"/>
      </w:pPr>
      <w:bookmarkStart w:id="2" w:name="_Toc92748365"/>
      <w:r w:rsidRPr="00566076">
        <w:rPr>
          <w:rFonts w:hint="eastAsia"/>
        </w:rPr>
        <w:t>周振宇</w:t>
      </w:r>
      <w:r>
        <w:rPr>
          <w:rStyle w:val="a8"/>
        </w:rPr>
        <w:footnoteReference w:id="1"/>
      </w:r>
      <w:bookmarkEnd w:id="2"/>
    </w:p>
    <w:p w14:paraId="3F3C37F3" w14:textId="77777777" w:rsidR="00E76244" w:rsidRPr="00566076" w:rsidRDefault="00E76244" w:rsidP="00E76244">
      <w:pPr>
        <w:pStyle w:val="a9"/>
      </w:pPr>
    </w:p>
    <w:p w14:paraId="043B3B26" w14:textId="77777777" w:rsidR="00E76244" w:rsidRPr="005F142B" w:rsidRDefault="00E76244" w:rsidP="00E76244">
      <w:pPr>
        <w:pStyle w:val="ad"/>
      </w:pPr>
      <w:r w:rsidRPr="005F142B">
        <w:rPr>
          <w:rFonts w:hint="eastAsia"/>
        </w:rPr>
        <w:t>随着机构整合的完成和新业态的发展，海关作为进出境监督管理机关，在职能拓展的同时，不断面临新的执法实践问题。</w:t>
      </w:r>
      <w:bookmarkStart w:id="3" w:name="_Hlk98747151"/>
      <w:r w:rsidRPr="005F142B">
        <w:rPr>
          <w:rFonts w:hint="eastAsia"/>
        </w:rPr>
        <w:t>2021年1月22日，十三届全国人大常委会第二十五次会议表决通过了行政处罚法修订草案。修订后的《行政处罚法》首次将“首违不罚”制度落实到了法律规定层面，即“初次违法且危害后果轻微并及时改正的，可以不予行政处罚”。</w:t>
      </w:r>
      <w:bookmarkEnd w:id="3"/>
      <w:r w:rsidRPr="005F142B">
        <w:rPr>
          <w:rFonts w:hint="eastAsia"/>
        </w:rPr>
        <w:t>对于海关执法而言，这无疑有助于破解基层面临的复杂局面和新情况新问题，在提高执法社会效益、减少执法成本、提升综合治理效能等方面有望实现海关与行政相对人的共赢。然而客观地讲，在督查、审计等内外部执法监督压力下，如何依法用好“首违不罚”制度，避免不用与滥用两个极端，是海关基层执法不可回避的问题，亦是本文探讨的出发点。</w:t>
      </w:r>
    </w:p>
    <w:p w14:paraId="2F34C0CE" w14:textId="77777777" w:rsidR="001D77C9" w:rsidRDefault="001D77C9" w:rsidP="00E76244">
      <w:pPr>
        <w:pStyle w:val="ab"/>
        <w:spacing w:before="312" w:after="312"/>
      </w:pPr>
    </w:p>
    <w:p w14:paraId="6F58E5E3" w14:textId="782B464C" w:rsidR="00E76244" w:rsidRPr="005F142B" w:rsidRDefault="00E76244" w:rsidP="00E76244">
      <w:pPr>
        <w:pStyle w:val="ab"/>
        <w:spacing w:before="312" w:after="312"/>
      </w:pPr>
      <w:r w:rsidRPr="005F142B">
        <w:rPr>
          <w:rFonts w:hint="eastAsia"/>
        </w:rPr>
        <w:lastRenderedPageBreak/>
        <w:t>一、“首违不罚”制度简析</w:t>
      </w:r>
    </w:p>
    <w:p w14:paraId="40782170" w14:textId="77777777" w:rsidR="00E76244" w:rsidRPr="005F142B" w:rsidRDefault="00E76244" w:rsidP="00E76244">
      <w:pPr>
        <w:pStyle w:val="ad"/>
      </w:pPr>
      <w:r w:rsidRPr="005F142B">
        <w:rPr>
          <w:rFonts w:hint="eastAsia"/>
        </w:rPr>
        <w:t>行政处罚具有“以惩戒违法为目的、具有制裁性”的性质，同时也有预防违法行为发生的功能。司法部行政执法协调监督局局长赵振华指出，行政执法的价值绝非“为罚而罚”，而是要达到预防违法的实际效果。我国社会主义法治国家建设和政府职能转变也要求政府强化社会管理和公共服务职能，从全能型、管制型向管理型、服务型、法制型转变。秉持以人为本、为人服务的执政理念和国家建设需求，各级政府相继出台了一些创新型的政策和措施，“首违不罚”制度已经被部分行政机关应用到了行政执法实践活动中。</w:t>
      </w:r>
    </w:p>
    <w:p w14:paraId="5BA795C9" w14:textId="77777777" w:rsidR="00E76244" w:rsidRPr="00603193" w:rsidRDefault="00E76244" w:rsidP="00E76244">
      <w:pPr>
        <w:pStyle w:val="af"/>
      </w:pPr>
      <w:r w:rsidRPr="00603193">
        <w:rPr>
          <w:rFonts w:hint="eastAsia"/>
        </w:rPr>
        <w:t>（一）“首违不罚”制度的由来</w:t>
      </w:r>
    </w:p>
    <w:p w14:paraId="472A2087" w14:textId="77777777" w:rsidR="00E76244" w:rsidRPr="005F142B" w:rsidRDefault="00E76244" w:rsidP="00E76244">
      <w:pPr>
        <w:pStyle w:val="ad"/>
      </w:pPr>
      <w:r w:rsidRPr="005F142B">
        <w:rPr>
          <w:rFonts w:hint="eastAsia"/>
        </w:rPr>
        <w:t>在当前建设法治国家和服务型政府的大背景下，各级政府都开始在规范行政执法、创造更好营商环境等方面进行探索。在法治社会里，行政执法应用理性、公正和人性化的态度，冷静而敏锐地处理社会问题，充分保障和尊重行政相对人的权利，从而实现实质意义上的公平正义。行政机关执法时如果能够在坚持法律原则的前提下充分考虑现实情况的复杂性和灵活性，就能有效减少执法冲突，化解执法矛盾，推动文明规范执法。“首违不罚”这种积极的探索制度就是在这样的背景下产生的，它是一种给予行政相对人一个自我纠正、消除违法行为后果、降低违法行为发生率的新型执法制度，具有很强的现实意义。</w:t>
      </w:r>
    </w:p>
    <w:p w14:paraId="36F3F402" w14:textId="77777777" w:rsidR="001D77C9" w:rsidRDefault="001D77C9" w:rsidP="00E76244">
      <w:pPr>
        <w:pStyle w:val="af"/>
      </w:pPr>
    </w:p>
    <w:p w14:paraId="362EB316" w14:textId="15D56798" w:rsidR="00E76244" w:rsidRPr="00603193" w:rsidRDefault="00E76244" w:rsidP="00E76244">
      <w:pPr>
        <w:pStyle w:val="af"/>
      </w:pPr>
      <w:r w:rsidRPr="00603193">
        <w:rPr>
          <w:rFonts w:hint="eastAsia"/>
        </w:rPr>
        <w:t>（二）“首违不罚”制度合理性与合法性辨析</w:t>
      </w:r>
    </w:p>
    <w:p w14:paraId="389916E1" w14:textId="77777777" w:rsidR="00E76244" w:rsidRPr="005F142B" w:rsidRDefault="00E76244" w:rsidP="00E76244">
      <w:pPr>
        <w:pStyle w:val="ad"/>
      </w:pPr>
      <w:r w:rsidRPr="005F142B">
        <w:rPr>
          <w:rFonts w:hint="eastAsia"/>
        </w:rPr>
        <w:t>“首违不罚”制度已经在包括税务机关、市场监督管理机关等多个部门进行了一定的实践。2020年，国务院在全国范围内复制推广自由贸易试验区第六批改革试点经验，其中就包括“多领域实施包容免罚清单模式”，按照分工由司法部负责对市场主体符合首次违法、非主观</w:t>
      </w:r>
      <w:proofErr w:type="gramStart"/>
      <w:r w:rsidRPr="005F142B">
        <w:rPr>
          <w:rFonts w:hint="eastAsia"/>
        </w:rPr>
        <w:t>故意并</w:t>
      </w:r>
      <w:proofErr w:type="gramEnd"/>
      <w:r w:rsidRPr="005F142B">
        <w:rPr>
          <w:rFonts w:hint="eastAsia"/>
        </w:rPr>
        <w:t>及时纠正、违法行为轻微、没有造成危害后果的行政违法行为，制定并发布多个领域的包容免罚清单，明确免除罚款的行政处罚。</w:t>
      </w:r>
    </w:p>
    <w:p w14:paraId="640F7EF1" w14:textId="77777777" w:rsidR="00E76244" w:rsidRPr="005F142B" w:rsidRDefault="00E76244" w:rsidP="00E76244">
      <w:pPr>
        <w:pStyle w:val="ad"/>
      </w:pPr>
      <w:r w:rsidRPr="005F142B">
        <w:rPr>
          <w:rFonts w:hint="eastAsia"/>
        </w:rPr>
        <w:t>这种执法实践引发了社会各界包括法学界的探讨。主要观点有以下三种：1、“首违不罚”作为一种以人为本理念下的行政处罚制度，具有规范层面上的合法性，在对违法行为例外情况下“首违不罚”，并以附加提示对方法消除违法行为的社会危害性，是一种补充性制度；2、“首违不罚”制度得以合理存在的界域主要是制度实施的必要性与目的的设定方面，实质是将法律赋予执法主体的自由裁量权制度降低为零，但制度本身设计存在较大的不确定性，降低了执法主体的权威性，打破了法律上的平衡，效果并不理想；3、部分机关先后出台的“首违不罚”制度因改变了上位法规定的行政处罚事项，不具有合法性。</w:t>
      </w:r>
    </w:p>
    <w:p w14:paraId="4185CF26" w14:textId="77777777" w:rsidR="00E76244" w:rsidRPr="005F142B" w:rsidRDefault="00E76244" w:rsidP="00E76244">
      <w:pPr>
        <w:pStyle w:val="ad"/>
      </w:pPr>
      <w:r w:rsidRPr="005F142B">
        <w:rPr>
          <w:rFonts w:hint="eastAsia"/>
        </w:rPr>
        <w:t>本文赞同第2种意见，首先根据“首违不罚”的字面意思，可以将“首违不罚”定义为：行政机关发现行政相对人首次实施了某一违法行为，但是主动消除违法，防止危害后果的发生，对于这种违法行为可以不予处罚。“首违不罚”的实施基础是行政相对人的“首次违法”，但是“首次违法”这个概念设定过于宽泛，比如是理解为相对人真实的第一次违法行为还是理解为行政机关第一次发现的相对人的违法行为，是理解为相对人首次实施的某一种违法行为还是某一范围的违法行为等。其次行政机关在执法过程中是否适用、如何适用“首违不罚”具有很强的主观能动性，属于运用自由裁量权的范围。行政机关的自由限度过大，容易产生两种后果：一是滥用权力，这种情况容易对政府公信力造成不良影响；二是基于各种内外部的监督不使用这种权力，此时会导致这个制度实际上无法落地。</w:t>
      </w:r>
    </w:p>
    <w:p w14:paraId="4568B85A" w14:textId="77777777" w:rsidR="00E76244" w:rsidRPr="005F142B" w:rsidRDefault="00E76244" w:rsidP="00E76244">
      <w:pPr>
        <w:pStyle w:val="ad"/>
      </w:pPr>
      <w:r w:rsidRPr="005F142B">
        <w:rPr>
          <w:rFonts w:hint="eastAsia"/>
        </w:rPr>
        <w:t xml:space="preserve">在“首违不罚”政策全面推广的执法实践中，由于缺乏统一规定（具体哪些行为可以适用“首违不罚”），各地自行出台的标准难免口径不一。以税务领域为例，《北京市税务行政处罚裁量基准》规定，纳税人未按照规定的期限变更税务登记的等 21 </w:t>
      </w:r>
      <w:proofErr w:type="gramStart"/>
      <w:r w:rsidRPr="005F142B">
        <w:rPr>
          <w:rFonts w:hint="eastAsia"/>
        </w:rPr>
        <w:t>项税收</w:t>
      </w:r>
      <w:proofErr w:type="gramEnd"/>
      <w:r w:rsidRPr="005F142B">
        <w:rPr>
          <w:rFonts w:hint="eastAsia"/>
        </w:rPr>
        <w:t>违法行为适用“首违不罚”。《长江三角洲区域税务轻微违法行为“首违不罚”清单》中，适用“首违不罚”的违法行为则变成了 18 种。相同情形的“首违”可能在北京可以免罚，在上海却照罚不误。正如美国法哲学家博登海默所说：“法律概念乃是解决法律问题所必需和必不可少的工具。没有限定严格的专门概念，我们就不能清楚地和理性地思考问题”。“首违不罚”这一概念的缺陷正在于此。</w:t>
      </w:r>
    </w:p>
    <w:p w14:paraId="5D751C7A" w14:textId="77777777" w:rsidR="00E76244" w:rsidRPr="005F142B" w:rsidRDefault="00E76244" w:rsidP="00E76244">
      <w:pPr>
        <w:pStyle w:val="ab"/>
        <w:spacing w:before="312" w:after="312"/>
      </w:pPr>
      <w:r w:rsidRPr="005F142B">
        <w:rPr>
          <w:rFonts w:hint="eastAsia"/>
        </w:rPr>
        <w:t>二、基层海关行政处罚案件分析——以温州口岸为例</w:t>
      </w:r>
    </w:p>
    <w:p w14:paraId="70D24E9B" w14:textId="77777777" w:rsidR="00E76244" w:rsidRPr="00603193" w:rsidRDefault="00E76244" w:rsidP="00E76244">
      <w:pPr>
        <w:pStyle w:val="af"/>
      </w:pPr>
      <w:r w:rsidRPr="00603193">
        <w:rPr>
          <w:rFonts w:hint="eastAsia"/>
        </w:rPr>
        <w:t>（一）市场采购贸易方式下海关执法新形势</w:t>
      </w:r>
    </w:p>
    <w:p w14:paraId="4F1E8BCA" w14:textId="77777777" w:rsidR="00E76244" w:rsidRPr="005F142B" w:rsidRDefault="00E76244" w:rsidP="00E76244">
      <w:pPr>
        <w:pStyle w:val="ad"/>
      </w:pPr>
      <w:r w:rsidRPr="005F142B">
        <w:rPr>
          <w:rFonts w:hint="eastAsia"/>
        </w:rPr>
        <w:t>市场采购贸易是我国新型的一种贸易方式，市场采购贸易方式在稳经济、促发展方面有一定的积极作用，但是一种贸易新业态的诞生也不可避免会伴随一些副作用。市场采购贸易方式针对的是市场中的小商品，涉及30多个行业、1500多个</w:t>
      </w:r>
      <w:r>
        <w:rPr>
          <w:rFonts w:hint="eastAsia"/>
        </w:rPr>
        <w:t>大类</w:t>
      </w:r>
      <w:r w:rsidRPr="005F142B">
        <w:rPr>
          <w:rFonts w:hint="eastAsia"/>
        </w:rPr>
        <w:t>、30多万种种类的小商品中难免有部分商品无国家标准或行业标准，无参考价格等情况，给海关查验、质量监管等带来一定困难。</w:t>
      </w:r>
    </w:p>
    <w:p w14:paraId="61E5AB68" w14:textId="77777777" w:rsidR="00E76244" w:rsidRPr="005F142B" w:rsidRDefault="00E76244" w:rsidP="00E76244">
      <w:pPr>
        <w:pStyle w:val="ad"/>
      </w:pPr>
      <w:r w:rsidRPr="005F142B">
        <w:rPr>
          <w:rFonts w:hint="eastAsia"/>
        </w:rPr>
        <w:t>以温州海关办理的出口侵犯知识产权案件为例，自2018年温州开展“市场采购”贸易试点以来，温州海关2019年至今办理的24起货物渠道查获的侵权案件的贸易方式均为“市场采购”。国内外采购商因完成采购后就出境等待接收货物，海关在办理案件调查过程中只能向报关单上的其委托的货代、外贸公司了解、调查案件情况。根据温州海关侵权案件相关情况，市场采购贸易方式下外贸公司仅凭货主提供的货物清单向海关申报出口，没有真正核实过出口商品的实际品名、归类、价格、品牌等信息。直至海关查验人员查获涉嫌侵权货物，外贸公司才知晓自己申报出口的货物实际是什么。侵权、假冒伪劣商品如果流出国门，将对我国的国际形象造成很大的不良影响，因此这种贸易方式下的监管模式值得探讨。</w:t>
      </w:r>
    </w:p>
    <w:p w14:paraId="2C3F50C0" w14:textId="77777777" w:rsidR="001D77C9" w:rsidRDefault="001D77C9" w:rsidP="00E76244">
      <w:pPr>
        <w:pStyle w:val="af"/>
      </w:pPr>
    </w:p>
    <w:p w14:paraId="42EDAB9E" w14:textId="47E4B6A2" w:rsidR="00E76244" w:rsidRPr="00603193" w:rsidRDefault="00E76244" w:rsidP="00E76244">
      <w:pPr>
        <w:pStyle w:val="af"/>
      </w:pPr>
      <w:r w:rsidRPr="00603193">
        <w:rPr>
          <w:rFonts w:hint="eastAsia"/>
        </w:rPr>
        <w:t>（二）寄递渠道海关执法新形势</w:t>
      </w:r>
    </w:p>
    <w:p w14:paraId="32DDA963" w14:textId="77777777" w:rsidR="00E76244" w:rsidRPr="005F142B" w:rsidRDefault="00E76244" w:rsidP="00E76244">
      <w:pPr>
        <w:pStyle w:val="ad"/>
      </w:pPr>
      <w:proofErr w:type="gramStart"/>
      <w:r w:rsidRPr="005F142B">
        <w:rPr>
          <w:rFonts w:hint="eastAsia"/>
        </w:rPr>
        <w:t>关检融合</w:t>
      </w:r>
      <w:proofErr w:type="gramEnd"/>
      <w:r w:rsidRPr="005F142B">
        <w:rPr>
          <w:rFonts w:hint="eastAsia"/>
        </w:rPr>
        <w:t>后，海关执法范围由监管进出境货物、物品、运输工具延伸到对商品检验、卫生检疫、动植物检验检疫等多个领域。在这样复杂的执法现实中，基层海关难免会遇到不少法律适用问题。</w:t>
      </w:r>
    </w:p>
    <w:p w14:paraId="7CB7FE66" w14:textId="77777777" w:rsidR="00E76244" w:rsidRPr="005F142B" w:rsidRDefault="00E76244" w:rsidP="00E76244">
      <w:pPr>
        <w:pStyle w:val="ad"/>
      </w:pPr>
      <w:r w:rsidRPr="005F142B">
        <w:rPr>
          <w:rFonts w:hint="eastAsia"/>
        </w:rPr>
        <w:t>以温州海关办理的行政处罚案件为例：A某邮寄活体动物进境，由于活体动物禁止邮寄进境，该行为同时涉嫌违反《中华人民共和国海关行政处罚实施条例》第二十条和《中华人民共和国进出境动植物检疫法》第二十九条规定。同一行为同时违反原海关的规定和原检验检疫局的规定的，择重，故对此行为的处罚最终适用《中华人民共和国进出境动植物检疫法》的相关规定，对该活体动物作退回或销毁处理，并对相对人A某处5000元以下罚款。</w:t>
      </w:r>
    </w:p>
    <w:p w14:paraId="39A77B2D" w14:textId="77777777" w:rsidR="00E76244" w:rsidRPr="005F142B" w:rsidRDefault="00E76244" w:rsidP="00E76244">
      <w:pPr>
        <w:pStyle w:val="ad"/>
      </w:pPr>
      <w:r w:rsidRPr="005F142B">
        <w:rPr>
          <w:rFonts w:hint="eastAsia"/>
        </w:rPr>
        <w:t>但是该案件从本文的“首违不罚”角度出发存在一个新的问题。我国进出境动植物检疫的主要目的是为了防止动物传染病、寄生虫和植物危害性病、虫、杂草及其他有害生物传入、传出国境，保护农、林、牧、渔业和人体健康，A某邮寄活体动物进境时已经</w:t>
      </w:r>
      <w:proofErr w:type="gramStart"/>
      <w:r w:rsidRPr="005F142B">
        <w:rPr>
          <w:rFonts w:hint="eastAsia"/>
        </w:rPr>
        <w:t>被口岸</w:t>
      </w:r>
      <w:proofErr w:type="gramEnd"/>
      <w:r w:rsidRPr="005F142B">
        <w:rPr>
          <w:rFonts w:hint="eastAsia"/>
        </w:rPr>
        <w:t>海关拦截，该行为明显不会危及境内生物安全，且相对人为首次实施该类违法行为，是否可以视为“违法行为轻微、没有造成危害后果”不予处罚呢？</w:t>
      </w:r>
    </w:p>
    <w:p w14:paraId="501E227F" w14:textId="77777777" w:rsidR="001D77C9" w:rsidRDefault="001D77C9" w:rsidP="00E76244">
      <w:pPr>
        <w:pStyle w:val="af"/>
      </w:pPr>
    </w:p>
    <w:p w14:paraId="692D4B61" w14:textId="14099ECF" w:rsidR="00E76244" w:rsidRPr="00603193" w:rsidRDefault="00E76244" w:rsidP="00E76244">
      <w:pPr>
        <w:pStyle w:val="af"/>
      </w:pPr>
      <w:r w:rsidRPr="00603193">
        <w:rPr>
          <w:rFonts w:hint="eastAsia"/>
        </w:rPr>
        <w:t>（三）“首违不罚”对新形势下海关办理行政处罚案件的影响</w:t>
      </w:r>
    </w:p>
    <w:p w14:paraId="09B1C6DF" w14:textId="77777777" w:rsidR="00E76244" w:rsidRPr="005F142B" w:rsidRDefault="00E76244" w:rsidP="00E76244">
      <w:pPr>
        <w:pStyle w:val="ad"/>
      </w:pPr>
      <w:r w:rsidRPr="005F142B">
        <w:rPr>
          <w:rFonts w:hint="eastAsia"/>
        </w:rPr>
        <w:t>新《行政处罚法》第三十三条第一款规定，初次违法且危害后果轻微并及时改正的，可以不予行政处罚。根据条文的字面含义，我们无从得知违法行为实施到何种程度可以视为危害后果轻微，但是后面还有一个条件是及时改正。据此我们可以得出一个简单的结论，适用“首违不罚”的一个前提是这个违法行为产生的后果已经被消灭。仍以温州海关为例探讨“首违不罚”制度的落实对海关办理行政处罚案件的影响：</w:t>
      </w:r>
    </w:p>
    <w:p w14:paraId="04270B71" w14:textId="77777777" w:rsidR="00E76244" w:rsidRPr="005F142B" w:rsidRDefault="00E76244" w:rsidP="00E76244">
      <w:pPr>
        <w:pStyle w:val="ad"/>
      </w:pPr>
      <w:r w:rsidRPr="005F142B">
        <w:rPr>
          <w:rFonts w:hint="eastAsia"/>
        </w:rPr>
        <w:t>一是如何认定违规行为的性质。以市场采购贸易方式下的行政处罚案件为例，该类型的案件涉案货值较小，相应的处罚金额也不高。但是因该贸易方式项下货物基本都是由集装箱拼箱出口，其中一项或者几项商品涉及侵权容易造成整个集装箱货物滞留，集装箱产生的滞期费、货物未能及时到港产生的违约金等是企业一笔不小的开销。如果在海关查验人员查获侵权嫌疑货物后，相对人属于首次实施该类违法行为并申请将该批货物退关，是否可以适用“首违不罚”呢？根据“首违不罚”条款的几个要件，相对人首次违法、货物退关后无法再实现进出口环节侵犯知识产权的后果，是否符合“危害后果轻微并及时改正”的情形呢？</w:t>
      </w:r>
    </w:p>
    <w:p w14:paraId="68EEAAE4" w14:textId="77777777" w:rsidR="00E76244" w:rsidRPr="005F142B" w:rsidRDefault="00E76244" w:rsidP="00E76244">
      <w:pPr>
        <w:pStyle w:val="ad"/>
      </w:pPr>
      <w:r w:rsidRPr="005F142B">
        <w:rPr>
          <w:rFonts w:hint="eastAsia"/>
        </w:rPr>
        <w:t>二是新型贸易方式下对“首违”认定难度加大。从市场采购新业态来说，温州市场采购贸易试点开展后政府为了促进经济发展给予了从事市场采购经营主体一定的优惠政策。新《中华人民共和国公司法》修订后取消了公司注册资本最低限额制度，也就是说现在成立一个有限责任公司是没有任何注册资金压力的。这两个方面政策优势在推动我国经济繁荣发展的同时也有一定的弊端。相较于常规贸易业态如一般贸易，市场采购的“内贸性”决定了它对外贸公司没有过多要求，不需要具备一定的资质、能力、年限等条件，只要符合进出口资质和温州市政府的市场采购贸易资格就可以开展“市场采购”贸易业务。在这种前提下，一个自然人可以在其注册的公司首次违法后将该公司注销，重新成立新的公司。根据上面的联想，“市场采购”贸易方式下的收发货人的违法行为在被认定为属于“危害后果轻微并及时改正”情况下，完全可以根据“首违”逃避海关行政处罚。从寄递渠道新形势上来看，如果“首违”只针对同一种行为的话，行为人完全可以以每次不同行为都符合“首违”来要求免罚。</w:t>
      </w:r>
    </w:p>
    <w:p w14:paraId="271ED98D" w14:textId="77777777" w:rsidR="00E76244" w:rsidRPr="005F142B" w:rsidRDefault="00E76244" w:rsidP="00E76244">
      <w:pPr>
        <w:pStyle w:val="ab"/>
        <w:spacing w:before="312" w:after="312"/>
      </w:pPr>
      <w:r w:rsidRPr="005F142B">
        <w:rPr>
          <w:rFonts w:hint="eastAsia"/>
        </w:rPr>
        <w:t>三、新背景下海关办理行政处罚案件的相关建议</w:t>
      </w:r>
    </w:p>
    <w:p w14:paraId="658CBF33" w14:textId="77777777" w:rsidR="00E76244" w:rsidRPr="00603193" w:rsidRDefault="00E76244" w:rsidP="00E76244">
      <w:pPr>
        <w:pStyle w:val="af"/>
      </w:pPr>
      <w:r w:rsidRPr="00603193">
        <w:rPr>
          <w:rFonts w:hint="eastAsia"/>
        </w:rPr>
        <w:t>（一）</w:t>
      </w:r>
      <w:bookmarkStart w:id="4" w:name="_Hlk98749612"/>
      <w:r w:rsidRPr="00603193">
        <w:rPr>
          <w:rFonts w:hint="eastAsia"/>
        </w:rPr>
        <w:t>急需出台“首违不罚”适用清单</w:t>
      </w:r>
      <w:bookmarkEnd w:id="4"/>
    </w:p>
    <w:p w14:paraId="63900495" w14:textId="77777777" w:rsidR="00E76244" w:rsidRPr="005F142B" w:rsidRDefault="00E76244" w:rsidP="00E76244">
      <w:pPr>
        <w:pStyle w:val="ad"/>
      </w:pPr>
      <w:r w:rsidRPr="005F142B">
        <w:rPr>
          <w:rFonts w:hint="eastAsia"/>
        </w:rPr>
        <w:t>《行政处罚法》施行前，部分部门已经开展了“首违不罚”制度的实践，如国家市场监督管理总局、国家税务总局等部门相继出台了轻微或者违法首违不罚清单，对适用“首违不罚”制度的违法行为做出明确规定。赵振华局长表示，下一步将根据国务院关于在全国推行“多领域实施包容免罚清单模式”工作的要求，认真组织推动落实新 修订的行政处罚法的规定，切实转变工作作风，提升执法服务水平。基于当前的法律规定、制度设计和行政执法实践中都没有将“首违不罚”的内涵和外延</w:t>
      </w:r>
      <w:proofErr w:type="gramStart"/>
      <w:r w:rsidRPr="005F142B">
        <w:rPr>
          <w:rFonts w:hint="eastAsia"/>
        </w:rPr>
        <w:t>作出</w:t>
      </w:r>
      <w:proofErr w:type="gramEnd"/>
      <w:r w:rsidRPr="005F142B">
        <w:rPr>
          <w:rFonts w:hint="eastAsia"/>
        </w:rPr>
        <w:t>明确规定，海关在今后的实际执法过程中会面临如何界定“首违”、适用“不罚”的情况。建议参考其他部门做法，就进出口货物监管、行李物品监管、商品检验、卫生检疫等多个行政执法领域分别制定“首违不罚”清单，刚柔并济</w:t>
      </w:r>
      <w:proofErr w:type="gramStart"/>
      <w:r w:rsidRPr="005F142B">
        <w:rPr>
          <w:rFonts w:hint="eastAsia"/>
        </w:rPr>
        <w:t>作出</w:t>
      </w:r>
      <w:proofErr w:type="gramEnd"/>
      <w:r w:rsidRPr="005F142B">
        <w:rPr>
          <w:rFonts w:hint="eastAsia"/>
        </w:rPr>
        <w:t>行政执法行为。</w:t>
      </w:r>
    </w:p>
    <w:p w14:paraId="270CA80A" w14:textId="77777777" w:rsidR="00E76244" w:rsidRPr="00603193" w:rsidRDefault="00E76244" w:rsidP="00E76244">
      <w:pPr>
        <w:pStyle w:val="af"/>
      </w:pPr>
      <w:r w:rsidRPr="00603193">
        <w:rPr>
          <w:rFonts w:hint="eastAsia"/>
        </w:rPr>
        <w:t>（二）严格规范自由裁量权的行使</w:t>
      </w:r>
    </w:p>
    <w:p w14:paraId="2B974E4B" w14:textId="77777777" w:rsidR="00E76244" w:rsidRPr="005F142B" w:rsidRDefault="00E76244" w:rsidP="00E76244">
      <w:pPr>
        <w:pStyle w:val="ad"/>
      </w:pPr>
      <w:r w:rsidRPr="005F142B">
        <w:rPr>
          <w:rFonts w:hint="eastAsia"/>
        </w:rPr>
        <w:t>行政处罚自由裁量权是国家行政机关在法律、法规规定的原则和范围内有选择余地的处置权利，海关在</w:t>
      </w:r>
      <w:proofErr w:type="gramStart"/>
      <w:r w:rsidRPr="005F142B">
        <w:rPr>
          <w:rFonts w:hint="eastAsia"/>
        </w:rPr>
        <w:t>作出</w:t>
      </w:r>
      <w:proofErr w:type="gramEnd"/>
      <w:r w:rsidRPr="005F142B">
        <w:rPr>
          <w:rFonts w:hint="eastAsia"/>
        </w:rPr>
        <w:t>行政处罚时往往也需要案件经办人员对各种情节的适用进行一个自主判断。《行政处罚法》将“首违不罚”制度纳入法律规定后进一步放大了行政机关工作人员的自由裁量权。但是从基层海关执法实践来看，由于客观的内外部监督、审计压力，基层关员的自由裁量</w:t>
      </w:r>
      <w:proofErr w:type="gramStart"/>
      <w:r w:rsidRPr="005F142B">
        <w:rPr>
          <w:rFonts w:hint="eastAsia"/>
        </w:rPr>
        <w:t>权很难</w:t>
      </w:r>
      <w:proofErr w:type="gramEnd"/>
      <w:r w:rsidRPr="005F142B">
        <w:rPr>
          <w:rFonts w:hint="eastAsia"/>
        </w:rPr>
        <w:t>得到充分的运用。在“首违不罚”如何认定以及适用问题未得到解决的当下，相对于滥用的可能性来说，不用的可能性更大。因此，建议明确海关行政处罚案件中自由裁量权适用的范围，用“一把尺子量到底”的执法权威打消执法人员的顾虑。</w:t>
      </w:r>
    </w:p>
    <w:p w14:paraId="66A351BC" w14:textId="77777777" w:rsidR="00E76244" w:rsidRPr="00603193" w:rsidRDefault="00E76244" w:rsidP="00E76244">
      <w:pPr>
        <w:pStyle w:val="af"/>
      </w:pPr>
      <w:r w:rsidRPr="00603193">
        <w:rPr>
          <w:rFonts w:hint="eastAsia"/>
        </w:rPr>
        <w:t>（三）完善各部门案件处理信息通报机制</w:t>
      </w:r>
    </w:p>
    <w:p w14:paraId="228385DF" w14:textId="77777777" w:rsidR="00E76244" w:rsidRPr="005F142B" w:rsidRDefault="00E76244" w:rsidP="00E76244">
      <w:pPr>
        <w:pStyle w:val="ad"/>
      </w:pPr>
      <w:r w:rsidRPr="005F142B">
        <w:rPr>
          <w:rFonts w:hint="eastAsia"/>
        </w:rPr>
        <w:t>“首违不罚”条款的核心是行政相对人的违法行为属于“首次”范畴，单靠海关内部</w:t>
      </w:r>
      <w:proofErr w:type="gramStart"/>
      <w:r w:rsidRPr="005F142B">
        <w:rPr>
          <w:rFonts w:hint="eastAsia"/>
        </w:rPr>
        <w:t>作出</w:t>
      </w:r>
      <w:proofErr w:type="gramEnd"/>
      <w:r w:rsidRPr="005F142B">
        <w:rPr>
          <w:rFonts w:hint="eastAsia"/>
        </w:rPr>
        <w:t>的行政处罚决定很难判断出该相对人是否为首次违法违规。尽管当前各部门</w:t>
      </w:r>
      <w:proofErr w:type="gramStart"/>
      <w:r w:rsidRPr="005F142B">
        <w:rPr>
          <w:rFonts w:hint="eastAsia"/>
        </w:rPr>
        <w:t>作出</w:t>
      </w:r>
      <w:proofErr w:type="gramEnd"/>
      <w:r w:rsidRPr="005F142B">
        <w:rPr>
          <w:rFonts w:hint="eastAsia"/>
        </w:rPr>
        <w:t>的行政处罚决定书都需主动对外公开，但是在检索、收集外部门</w:t>
      </w:r>
      <w:proofErr w:type="gramStart"/>
      <w:r w:rsidRPr="005F142B">
        <w:rPr>
          <w:rFonts w:hint="eastAsia"/>
        </w:rPr>
        <w:t>作出</w:t>
      </w:r>
      <w:proofErr w:type="gramEnd"/>
      <w:r w:rsidRPr="005F142B">
        <w:rPr>
          <w:rFonts w:hint="eastAsia"/>
        </w:rPr>
        <w:t>的行政处罚决定书时也存在一定的问题：一是检索到的内容不全面，有时候只能检索到标题，无法得知行政处罚的确切内容；二是</w:t>
      </w:r>
      <w:proofErr w:type="gramStart"/>
      <w:r w:rsidRPr="005F142B">
        <w:rPr>
          <w:rFonts w:hint="eastAsia"/>
        </w:rPr>
        <w:t>作出</w:t>
      </w:r>
      <w:proofErr w:type="gramEnd"/>
      <w:r w:rsidRPr="005F142B">
        <w:rPr>
          <w:rFonts w:hint="eastAsia"/>
        </w:rPr>
        <w:t>处罚决定</w:t>
      </w:r>
      <w:proofErr w:type="gramStart"/>
      <w:r w:rsidRPr="005F142B">
        <w:rPr>
          <w:rFonts w:hint="eastAsia"/>
        </w:rPr>
        <w:t>跟公开</w:t>
      </w:r>
      <w:proofErr w:type="gramEnd"/>
      <w:r w:rsidRPr="005F142B">
        <w:rPr>
          <w:rFonts w:hint="eastAsia"/>
        </w:rPr>
        <w:t>存在一定的时间差，可能存在</w:t>
      </w:r>
      <w:proofErr w:type="gramStart"/>
      <w:r w:rsidRPr="005F142B">
        <w:rPr>
          <w:rFonts w:hint="eastAsia"/>
        </w:rPr>
        <w:t>在</w:t>
      </w:r>
      <w:proofErr w:type="gramEnd"/>
      <w:r w:rsidRPr="005F142B">
        <w:rPr>
          <w:rFonts w:hint="eastAsia"/>
        </w:rPr>
        <w:t>未检索到相对人其他行政处罚而适用“首违不罚”条款不予处罚之后发现有其他行政处罚的情形。建议能够通过多部门的执法协调工作完善案件处理信息通报机制，及时将</w:t>
      </w:r>
      <w:proofErr w:type="gramStart"/>
      <w:r w:rsidRPr="005F142B">
        <w:rPr>
          <w:rFonts w:hint="eastAsia"/>
        </w:rPr>
        <w:t>作出</w:t>
      </w:r>
      <w:proofErr w:type="gramEnd"/>
      <w:r w:rsidRPr="005F142B">
        <w:rPr>
          <w:rFonts w:hint="eastAsia"/>
        </w:rPr>
        <w:t>的行政处罚决定书进行多部门流转，防止执法差错发生。</w:t>
      </w:r>
    </w:p>
    <w:p w14:paraId="2AB3770F" w14:textId="77777777" w:rsidR="00E76244" w:rsidRDefault="00E76244" w:rsidP="00E76244">
      <w:pPr>
        <w:pStyle w:val="ad"/>
        <w:ind w:firstLine="560"/>
        <w:rPr>
          <w:sz w:val="28"/>
          <w:szCs w:val="28"/>
        </w:rPr>
      </w:pPr>
    </w:p>
    <w:p w14:paraId="41EB3305" w14:textId="77777777" w:rsidR="00E76244" w:rsidRPr="00603193" w:rsidRDefault="00E76244" w:rsidP="00E76244">
      <w:pPr>
        <w:pStyle w:val="ad"/>
        <w:ind w:firstLine="560"/>
        <w:rPr>
          <w:color w:val="333333"/>
          <w:sz w:val="28"/>
          <w:szCs w:val="28"/>
          <w:shd w:val="clear" w:color="auto" w:fill="FFFFFF"/>
        </w:rPr>
      </w:pPr>
    </w:p>
    <w:p w14:paraId="771125F9" w14:textId="77777777" w:rsidR="00E76244" w:rsidRPr="00603193" w:rsidRDefault="00E76244" w:rsidP="00E76244">
      <w:pPr>
        <w:pStyle w:val="ad"/>
        <w:ind w:firstLine="560"/>
        <w:rPr>
          <w:color w:val="333333"/>
          <w:sz w:val="28"/>
          <w:szCs w:val="28"/>
          <w:shd w:val="clear" w:color="auto" w:fill="FFFFFF"/>
        </w:rPr>
      </w:pPr>
    </w:p>
    <w:p w14:paraId="67EAB585" w14:textId="77777777" w:rsidR="00E76244" w:rsidRPr="00B75D89" w:rsidRDefault="00E76244" w:rsidP="00E76244">
      <w:pPr>
        <w:pStyle w:val="ad"/>
        <w:rPr>
          <w:rFonts w:ascii="Times New Roman" w:hAnsi="Times New Roman" w:cs="Times New Roman"/>
          <w:color w:val="000000"/>
          <w:lang w:val="en-US" w:bidi="ar-SA"/>
        </w:rPr>
      </w:pPr>
    </w:p>
    <w:p w14:paraId="32429718" w14:textId="77777777" w:rsidR="00E76244" w:rsidRPr="00B75D89" w:rsidRDefault="00E76244" w:rsidP="00E76244">
      <w:pPr>
        <w:pStyle w:val="ad"/>
        <w:rPr>
          <w:rFonts w:ascii="Times New Roman" w:hAnsi="Times New Roman" w:cs="Times New Roman"/>
          <w:lang w:val="en-US" w:bidi="ar-SA"/>
        </w:rPr>
      </w:pPr>
    </w:p>
    <w:p w14:paraId="3FAB3D26" w14:textId="77777777" w:rsidR="00E76244" w:rsidRPr="00B75D89" w:rsidRDefault="00E76244" w:rsidP="00E76244">
      <w:pPr>
        <w:pStyle w:val="ad"/>
        <w:ind w:firstLine="480"/>
        <w:rPr>
          <w:sz w:val="24"/>
          <w:lang w:val="en-US"/>
        </w:rPr>
      </w:pPr>
    </w:p>
    <w:p w14:paraId="2755B4F2" w14:textId="77777777" w:rsidR="00E76244" w:rsidRPr="00E7080C" w:rsidRDefault="00E76244" w:rsidP="00E76244">
      <w:pPr>
        <w:pStyle w:val="ad"/>
        <w:ind w:firstLine="480"/>
        <w:rPr>
          <w:sz w:val="24"/>
          <w:lang w:val="en-US"/>
        </w:rPr>
      </w:pPr>
      <w:r w:rsidRPr="00E7080C">
        <w:rPr>
          <w:sz w:val="24"/>
          <w:lang w:val="en-US"/>
        </w:rPr>
        <w:br w:type="page"/>
      </w:r>
    </w:p>
    <w:p w14:paraId="1E0B6F19" w14:textId="77777777" w:rsidR="00E76244" w:rsidRPr="00732101" w:rsidRDefault="00E76244" w:rsidP="00E76244">
      <w:pPr>
        <w:pStyle w:val="ab"/>
        <w:spacing w:before="312" w:after="312"/>
      </w:pPr>
      <w:r w:rsidRPr="00732101">
        <w:rPr>
          <w:rFonts w:hint="eastAsia"/>
        </w:rPr>
        <w:t>附件：评语</w:t>
      </w:r>
    </w:p>
    <w:tbl>
      <w:tblPr>
        <w:tblStyle w:val="a7"/>
        <w:tblW w:w="0" w:type="auto"/>
        <w:jc w:val="center"/>
        <w:tblLook w:val="04A0" w:firstRow="1" w:lastRow="0" w:firstColumn="1" w:lastColumn="0" w:noHBand="0" w:noVBand="1"/>
      </w:tblPr>
      <w:tblGrid>
        <w:gridCol w:w="1067"/>
        <w:gridCol w:w="7229"/>
      </w:tblGrid>
      <w:tr w:rsidR="00E76244" w:rsidRPr="000E4D29" w14:paraId="329E89E2" w14:textId="77777777" w:rsidTr="00454AE0">
        <w:trPr>
          <w:jc w:val="center"/>
        </w:trPr>
        <w:tc>
          <w:tcPr>
            <w:tcW w:w="1101" w:type="dxa"/>
            <w:vAlign w:val="center"/>
          </w:tcPr>
          <w:p w14:paraId="37B1DAFD" w14:textId="77777777" w:rsidR="00E76244" w:rsidRPr="009F25DC" w:rsidRDefault="00E76244" w:rsidP="00454AE0">
            <w:pPr>
              <w:pStyle w:val="ad"/>
              <w:ind w:firstLineChars="0" w:firstLine="0"/>
              <w:jc w:val="center"/>
              <w:rPr>
                <w:b/>
                <w:bCs/>
                <w:sz w:val="21"/>
                <w:szCs w:val="21"/>
                <w:lang w:val="en-US"/>
              </w:rPr>
            </w:pPr>
            <w:r w:rsidRPr="009F25DC">
              <w:rPr>
                <w:rFonts w:hint="eastAsia"/>
                <w:b/>
                <w:bCs/>
                <w:sz w:val="21"/>
                <w:szCs w:val="21"/>
                <w:lang w:val="en-US"/>
              </w:rPr>
              <w:t>评审老师</w:t>
            </w:r>
          </w:p>
        </w:tc>
        <w:tc>
          <w:tcPr>
            <w:tcW w:w="7559" w:type="dxa"/>
            <w:vAlign w:val="center"/>
          </w:tcPr>
          <w:p w14:paraId="3D2AEBA2" w14:textId="77777777" w:rsidR="00E76244" w:rsidRPr="009F25DC" w:rsidRDefault="00E76244" w:rsidP="00454AE0">
            <w:pPr>
              <w:pStyle w:val="ad"/>
              <w:ind w:firstLineChars="0" w:firstLine="0"/>
              <w:jc w:val="center"/>
              <w:rPr>
                <w:b/>
                <w:bCs/>
                <w:sz w:val="21"/>
                <w:szCs w:val="21"/>
                <w:lang w:val="en-US"/>
              </w:rPr>
            </w:pPr>
            <w:r w:rsidRPr="009F25DC">
              <w:rPr>
                <w:rFonts w:hint="eastAsia"/>
                <w:b/>
                <w:bCs/>
                <w:sz w:val="21"/>
                <w:szCs w:val="21"/>
                <w:lang w:val="en-US"/>
              </w:rPr>
              <w:t>评语</w:t>
            </w:r>
          </w:p>
        </w:tc>
      </w:tr>
      <w:tr w:rsidR="00E76244" w:rsidRPr="000E4D29" w14:paraId="72759DA1" w14:textId="77777777" w:rsidTr="00454AE0">
        <w:trPr>
          <w:jc w:val="center"/>
        </w:trPr>
        <w:tc>
          <w:tcPr>
            <w:tcW w:w="1101" w:type="dxa"/>
            <w:vAlign w:val="center"/>
          </w:tcPr>
          <w:p w14:paraId="071C6963" w14:textId="77777777" w:rsidR="00E76244" w:rsidRPr="000E4D29" w:rsidRDefault="00E76244" w:rsidP="00454AE0">
            <w:pPr>
              <w:pStyle w:val="ad"/>
              <w:ind w:firstLineChars="0" w:firstLine="0"/>
              <w:jc w:val="center"/>
              <w:rPr>
                <w:sz w:val="21"/>
                <w:szCs w:val="21"/>
                <w:lang w:val="en-US"/>
              </w:rPr>
            </w:pPr>
            <w:r w:rsidRPr="000E4D29">
              <w:rPr>
                <w:rFonts w:hint="eastAsia"/>
                <w:sz w:val="21"/>
                <w:szCs w:val="21"/>
                <w:lang w:val="en-US"/>
              </w:rPr>
              <w:t>江小平</w:t>
            </w:r>
          </w:p>
        </w:tc>
        <w:tc>
          <w:tcPr>
            <w:tcW w:w="7559" w:type="dxa"/>
            <w:vAlign w:val="center"/>
          </w:tcPr>
          <w:p w14:paraId="6803BCF9" w14:textId="77777777" w:rsidR="00E76244" w:rsidRPr="000E4D29" w:rsidRDefault="00E76244" w:rsidP="00454AE0">
            <w:pPr>
              <w:pStyle w:val="ad"/>
              <w:ind w:firstLine="420"/>
              <w:rPr>
                <w:sz w:val="21"/>
                <w:szCs w:val="21"/>
                <w:lang w:val="en-US"/>
              </w:rPr>
            </w:pPr>
            <w:r w:rsidRPr="00C2622B">
              <w:rPr>
                <w:rFonts w:hint="eastAsia"/>
                <w:sz w:val="21"/>
                <w:szCs w:val="21"/>
                <w:lang w:val="en-US"/>
              </w:rPr>
              <w:t>提出了一个很好的问题，但没有展开讨论就草草结束，实质性内容太少了。</w:t>
            </w:r>
          </w:p>
        </w:tc>
      </w:tr>
      <w:tr w:rsidR="00E76244" w:rsidRPr="000E4D29" w14:paraId="4BBE4E3C" w14:textId="77777777" w:rsidTr="00454AE0">
        <w:trPr>
          <w:jc w:val="center"/>
        </w:trPr>
        <w:tc>
          <w:tcPr>
            <w:tcW w:w="1101" w:type="dxa"/>
            <w:vAlign w:val="center"/>
          </w:tcPr>
          <w:p w14:paraId="252D2F63" w14:textId="77777777" w:rsidR="00E76244" w:rsidRPr="000E4D29" w:rsidRDefault="00E76244" w:rsidP="00454AE0">
            <w:pPr>
              <w:pStyle w:val="ad"/>
              <w:ind w:firstLineChars="0" w:firstLine="0"/>
              <w:jc w:val="center"/>
              <w:rPr>
                <w:sz w:val="21"/>
                <w:szCs w:val="21"/>
                <w:lang w:val="en-US"/>
              </w:rPr>
            </w:pPr>
            <w:r>
              <w:rPr>
                <w:rFonts w:hint="eastAsia"/>
                <w:sz w:val="21"/>
                <w:szCs w:val="21"/>
                <w:lang w:val="en-US"/>
              </w:rPr>
              <w:t>杨晨光</w:t>
            </w:r>
          </w:p>
        </w:tc>
        <w:tc>
          <w:tcPr>
            <w:tcW w:w="7559" w:type="dxa"/>
            <w:vAlign w:val="center"/>
          </w:tcPr>
          <w:p w14:paraId="517FB338" w14:textId="77777777" w:rsidR="00E76244" w:rsidRPr="00C2622B" w:rsidRDefault="00E76244" w:rsidP="00454AE0">
            <w:pPr>
              <w:pStyle w:val="ad"/>
              <w:ind w:firstLine="420"/>
              <w:rPr>
                <w:sz w:val="21"/>
                <w:szCs w:val="21"/>
                <w:lang w:val="en-US"/>
              </w:rPr>
            </w:pPr>
            <w:r w:rsidRPr="00C2622B">
              <w:rPr>
                <w:rFonts w:hint="eastAsia"/>
                <w:sz w:val="21"/>
                <w:szCs w:val="21"/>
                <w:lang w:val="en-US"/>
              </w:rPr>
              <w:t>优点：</w:t>
            </w:r>
          </w:p>
          <w:p w14:paraId="2B0B4569" w14:textId="77777777" w:rsidR="00E76244" w:rsidRPr="00C2622B" w:rsidRDefault="00E76244" w:rsidP="00454AE0">
            <w:pPr>
              <w:pStyle w:val="ad"/>
              <w:ind w:firstLine="420"/>
              <w:rPr>
                <w:sz w:val="21"/>
                <w:szCs w:val="21"/>
                <w:lang w:val="en-US"/>
              </w:rPr>
            </w:pPr>
            <w:r w:rsidRPr="00C2622B">
              <w:rPr>
                <w:sz w:val="21"/>
                <w:szCs w:val="21"/>
                <w:lang w:val="en-US"/>
              </w:rPr>
              <w:t>1、意义：根据今年新修订的《行政处罚法》首次明确“首违不罚”制度的新要求和海关基层执法实践存在困难的新情况，比较全面地解析了这一制度的由来及内涵，以温州口岸为样本分析了基层海关执行这一新的法律制度存在困难，并提出了落实这一新的制度的建议，给人以知识和启发。“首违不罚”这一柔性执法制度如能在基层海关普遍落实，必将会有一大批企业享受到“初次违法且危害后果轻微并及时改正的，可以不予行政处罚”的理性、公正和人性化的文明执法关怀，也给基层海关减少了执法压力和执法成本，意义重大。</w:t>
            </w:r>
          </w:p>
          <w:p w14:paraId="6A728D5B" w14:textId="77777777" w:rsidR="00E76244" w:rsidRPr="00C2622B" w:rsidRDefault="00E76244" w:rsidP="00454AE0">
            <w:pPr>
              <w:pStyle w:val="ad"/>
              <w:ind w:firstLine="420"/>
              <w:rPr>
                <w:sz w:val="21"/>
                <w:szCs w:val="21"/>
                <w:lang w:val="en-US"/>
              </w:rPr>
            </w:pPr>
            <w:r w:rsidRPr="00C2622B">
              <w:rPr>
                <w:sz w:val="21"/>
                <w:szCs w:val="21"/>
                <w:lang w:val="en-US"/>
              </w:rPr>
              <w:t>2、分析：分析比较全面，素材比较扎实，建议比较明确。</w:t>
            </w:r>
          </w:p>
          <w:p w14:paraId="47A5CF73" w14:textId="77777777" w:rsidR="00E76244" w:rsidRPr="00C2622B" w:rsidRDefault="00E76244" w:rsidP="00454AE0">
            <w:pPr>
              <w:pStyle w:val="ad"/>
              <w:ind w:firstLine="420"/>
              <w:rPr>
                <w:sz w:val="21"/>
                <w:szCs w:val="21"/>
                <w:lang w:val="en-US"/>
              </w:rPr>
            </w:pPr>
            <w:r w:rsidRPr="00C2622B">
              <w:rPr>
                <w:sz w:val="21"/>
                <w:szCs w:val="21"/>
                <w:lang w:val="en-US"/>
              </w:rPr>
              <w:t>3、表述：文字表达比较通顺。</w:t>
            </w:r>
          </w:p>
          <w:p w14:paraId="3F143E20" w14:textId="77777777" w:rsidR="00E76244" w:rsidRPr="00C2622B" w:rsidRDefault="00E76244" w:rsidP="00454AE0">
            <w:pPr>
              <w:pStyle w:val="ad"/>
              <w:ind w:firstLine="420"/>
              <w:rPr>
                <w:sz w:val="21"/>
                <w:szCs w:val="21"/>
                <w:lang w:val="en-US"/>
              </w:rPr>
            </w:pPr>
            <w:r w:rsidRPr="00C2622B">
              <w:rPr>
                <w:rFonts w:hint="eastAsia"/>
                <w:sz w:val="21"/>
                <w:szCs w:val="21"/>
                <w:lang w:val="en-US"/>
              </w:rPr>
              <w:t>不足：</w:t>
            </w:r>
          </w:p>
          <w:p w14:paraId="06A0392E" w14:textId="77777777" w:rsidR="00E76244" w:rsidRPr="000E4D29" w:rsidRDefault="00E76244" w:rsidP="00454AE0">
            <w:pPr>
              <w:pStyle w:val="ad"/>
              <w:ind w:firstLineChars="0" w:firstLine="200"/>
              <w:rPr>
                <w:sz w:val="21"/>
                <w:szCs w:val="21"/>
                <w:lang w:val="en-US"/>
              </w:rPr>
            </w:pPr>
            <w:r w:rsidRPr="00C2622B">
              <w:rPr>
                <w:rFonts w:hint="eastAsia"/>
                <w:sz w:val="21"/>
                <w:szCs w:val="21"/>
                <w:lang w:val="en-US"/>
              </w:rPr>
              <w:t xml:space="preserve">　本文论述似不够集中，有繁琐之嫌。</w:t>
            </w:r>
          </w:p>
        </w:tc>
      </w:tr>
      <w:tr w:rsidR="00E76244" w:rsidRPr="000E4D29" w14:paraId="09EEA061" w14:textId="77777777" w:rsidTr="00454AE0">
        <w:trPr>
          <w:jc w:val="center"/>
        </w:trPr>
        <w:tc>
          <w:tcPr>
            <w:tcW w:w="1101" w:type="dxa"/>
            <w:vAlign w:val="center"/>
          </w:tcPr>
          <w:p w14:paraId="5ECC3A4C" w14:textId="77777777" w:rsidR="00E76244" w:rsidRPr="000E4D29" w:rsidRDefault="00E76244" w:rsidP="00454AE0">
            <w:pPr>
              <w:pStyle w:val="ad"/>
              <w:ind w:firstLineChars="0" w:firstLine="0"/>
              <w:jc w:val="center"/>
              <w:rPr>
                <w:sz w:val="21"/>
                <w:szCs w:val="21"/>
                <w:lang w:val="en-US"/>
              </w:rPr>
            </w:pPr>
            <w:r>
              <w:rPr>
                <w:rFonts w:hint="eastAsia"/>
                <w:sz w:val="21"/>
                <w:szCs w:val="21"/>
                <w:lang w:val="en-US"/>
              </w:rPr>
              <w:t>黎伟雄</w:t>
            </w:r>
          </w:p>
        </w:tc>
        <w:tc>
          <w:tcPr>
            <w:tcW w:w="7559" w:type="dxa"/>
            <w:vAlign w:val="center"/>
          </w:tcPr>
          <w:p w14:paraId="5BE56207" w14:textId="77777777" w:rsidR="00E76244" w:rsidRPr="000E4D29" w:rsidRDefault="00E76244" w:rsidP="00454AE0">
            <w:pPr>
              <w:pStyle w:val="ad"/>
              <w:ind w:firstLine="420"/>
              <w:rPr>
                <w:sz w:val="21"/>
                <w:szCs w:val="21"/>
                <w:lang w:val="en-US"/>
              </w:rPr>
            </w:pPr>
            <w:r w:rsidRPr="00C2622B">
              <w:rPr>
                <w:rFonts w:hint="eastAsia"/>
                <w:sz w:val="21"/>
                <w:szCs w:val="21"/>
                <w:lang w:val="en-US"/>
              </w:rPr>
              <w:t>该文通过“首违不罚”条文在基层海关执法实践的运用上存在的困难为切入口，从基层角度出发，探讨新形势下“市场采购”贸易和寄递渠道涉及的行政处罚，对“首违不罚”制度在海关行政执法中的运用进行剖析，提出解决的意见和建议，具有一定的实用性。如能在实例验证上加大力度，以及增加国际对比研究，就会更好。</w:t>
            </w:r>
          </w:p>
        </w:tc>
      </w:tr>
      <w:tr w:rsidR="00E76244" w:rsidRPr="000E4D29" w14:paraId="45321418" w14:textId="77777777" w:rsidTr="00454AE0">
        <w:trPr>
          <w:jc w:val="center"/>
        </w:trPr>
        <w:tc>
          <w:tcPr>
            <w:tcW w:w="1101" w:type="dxa"/>
            <w:vAlign w:val="center"/>
          </w:tcPr>
          <w:p w14:paraId="228B6A0E" w14:textId="77777777" w:rsidR="00E76244" w:rsidRPr="000E4D29" w:rsidRDefault="00E76244" w:rsidP="00454AE0">
            <w:pPr>
              <w:pStyle w:val="ad"/>
              <w:ind w:firstLineChars="0" w:firstLine="0"/>
              <w:jc w:val="center"/>
              <w:rPr>
                <w:sz w:val="21"/>
                <w:szCs w:val="21"/>
                <w:lang w:val="en-US"/>
              </w:rPr>
            </w:pPr>
            <w:proofErr w:type="gramStart"/>
            <w:r>
              <w:rPr>
                <w:rFonts w:hint="eastAsia"/>
                <w:sz w:val="21"/>
                <w:szCs w:val="21"/>
                <w:lang w:val="en-US"/>
              </w:rPr>
              <w:t>齐忠平</w:t>
            </w:r>
            <w:proofErr w:type="gramEnd"/>
          </w:p>
        </w:tc>
        <w:tc>
          <w:tcPr>
            <w:tcW w:w="7559" w:type="dxa"/>
            <w:vAlign w:val="center"/>
          </w:tcPr>
          <w:p w14:paraId="59705322" w14:textId="77777777" w:rsidR="00E76244" w:rsidRPr="000E4D29" w:rsidRDefault="00E76244" w:rsidP="00454AE0">
            <w:pPr>
              <w:pStyle w:val="ad"/>
              <w:ind w:firstLine="420"/>
              <w:rPr>
                <w:sz w:val="21"/>
                <w:szCs w:val="21"/>
                <w:lang w:val="en-US"/>
              </w:rPr>
            </w:pPr>
            <w:r w:rsidRPr="00C2622B">
              <w:rPr>
                <w:rFonts w:hint="eastAsia"/>
                <w:sz w:val="21"/>
                <w:szCs w:val="21"/>
                <w:lang w:val="en-US"/>
              </w:rPr>
              <w:t>现行海关行政处罚执法规范并未授权基层海关</w:t>
            </w:r>
            <w:r w:rsidRPr="00C2622B">
              <w:rPr>
                <w:sz w:val="21"/>
                <w:szCs w:val="21"/>
                <w:lang w:val="en-US"/>
              </w:rPr>
              <w:t>(或</w:t>
            </w:r>
            <w:proofErr w:type="gramStart"/>
            <w:r w:rsidRPr="00C2622B">
              <w:rPr>
                <w:sz w:val="21"/>
                <w:szCs w:val="21"/>
                <w:lang w:val="en-US"/>
              </w:rPr>
              <w:t>缉私局</w:t>
            </w:r>
            <w:proofErr w:type="gramEnd"/>
            <w:r w:rsidRPr="00C2622B">
              <w:rPr>
                <w:sz w:val="21"/>
                <w:szCs w:val="21"/>
                <w:lang w:val="en-US"/>
              </w:rPr>
              <w:t>)直接适用《行政处罚法》办案，且未执行“首违不罚”也不违法，因为法语讲“可以”而非“应当”。一旦有权机关落实“首违不罚”精神，下达海关行政处罚“首违不罚”操作办法，不会仅仅只言片语，而是一套操作制度，包括如何认定“初次”、“危害轻微”和“及时改正”等，解决文章所有问题和担忧。此外，文中举例的市场采购和寄递渠道案件处理疑难问题，是老问题，非因“首违不罚”引发，因果逻辑不成立。综合看，本文对海关处罚执法价值有限。</w:t>
            </w:r>
          </w:p>
        </w:tc>
      </w:tr>
    </w:tbl>
    <w:p w14:paraId="2D39C745" w14:textId="77777777" w:rsidR="00E76244" w:rsidRDefault="00E76244" w:rsidP="00E76244"/>
    <w:p w14:paraId="1C9E60C9" w14:textId="77777777" w:rsidR="00E76244" w:rsidRDefault="00E76244" w:rsidP="00E76244">
      <w:pPr>
        <w:spacing w:line="360" w:lineRule="auto"/>
        <w:ind w:firstLineChars="200" w:firstLine="480"/>
        <w:rPr>
          <w:sz w:val="24"/>
          <w:lang w:val="en-US"/>
        </w:rPr>
      </w:pPr>
    </w:p>
    <w:p w14:paraId="3E245E14" w14:textId="363A7421" w:rsidR="00260666" w:rsidRPr="001D77C9" w:rsidRDefault="00260666">
      <w:pPr>
        <w:rPr>
          <w:rFonts w:hint="eastAsia"/>
          <w:sz w:val="24"/>
          <w:lang w:val="en-US"/>
        </w:rPr>
      </w:pPr>
    </w:p>
    <w:sectPr w:rsidR="00260666" w:rsidRPr="001D77C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17501" w14:textId="77777777" w:rsidR="000C391C" w:rsidRDefault="000C391C" w:rsidP="00E76244">
      <w:r>
        <w:separator/>
      </w:r>
    </w:p>
  </w:endnote>
  <w:endnote w:type="continuationSeparator" w:id="0">
    <w:p w14:paraId="78B04491" w14:textId="77777777" w:rsidR="000C391C" w:rsidRDefault="000C391C" w:rsidP="00E76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A00002BF" w:usb1="38CF7CFA" w:usb2="00082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47222" w14:textId="77777777" w:rsidR="000C391C" w:rsidRDefault="000C391C" w:rsidP="00E76244">
      <w:r>
        <w:separator/>
      </w:r>
    </w:p>
  </w:footnote>
  <w:footnote w:type="continuationSeparator" w:id="0">
    <w:p w14:paraId="26C8BCD9" w14:textId="77777777" w:rsidR="000C391C" w:rsidRDefault="000C391C" w:rsidP="00E76244">
      <w:r>
        <w:continuationSeparator/>
      </w:r>
    </w:p>
  </w:footnote>
  <w:footnote w:id="1">
    <w:p w14:paraId="5A44619C" w14:textId="77777777" w:rsidR="00E76244" w:rsidRPr="00566076" w:rsidRDefault="00E76244" w:rsidP="00E76244">
      <w:pPr>
        <w:pStyle w:val="af0"/>
      </w:pPr>
      <w:r w:rsidRPr="00566076">
        <w:rPr>
          <w:rStyle w:val="a8"/>
        </w:rPr>
        <w:footnoteRef/>
      </w:r>
      <w:r w:rsidRPr="00566076">
        <w:t xml:space="preserve"> </w:t>
      </w:r>
      <w:r w:rsidRPr="00566076">
        <w:rPr>
          <w:rFonts w:hint="eastAsia"/>
        </w:rPr>
        <w:t>作者单位：温州海关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6CE"/>
    <w:multiLevelType w:val="hybridMultilevel"/>
    <w:tmpl w:val="875EA6BE"/>
    <w:lvl w:ilvl="0" w:tplc="8CBA1D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121"/>
    <w:rsid w:val="000A2540"/>
    <w:rsid w:val="000C391C"/>
    <w:rsid w:val="000F7770"/>
    <w:rsid w:val="001D77C9"/>
    <w:rsid w:val="00260666"/>
    <w:rsid w:val="002E4E97"/>
    <w:rsid w:val="00391121"/>
    <w:rsid w:val="005D7A06"/>
    <w:rsid w:val="008557EE"/>
    <w:rsid w:val="008907B4"/>
    <w:rsid w:val="00AD5B82"/>
    <w:rsid w:val="00B71144"/>
    <w:rsid w:val="00D239BF"/>
    <w:rsid w:val="00D27EA0"/>
    <w:rsid w:val="00D97B9F"/>
    <w:rsid w:val="00E76244"/>
    <w:rsid w:val="00EE03D2"/>
    <w:rsid w:val="00F25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C7BE2"/>
  <w15:chartTrackingRefBased/>
  <w15:docId w15:val="{90E9CF5A-B04B-4F9C-BDDF-208B3D822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6244"/>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0"/>
    <w:uiPriority w:val="9"/>
    <w:qFormat/>
    <w:rsid w:val="00E76244"/>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E7624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6244"/>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val="en-US" w:bidi="ar-SA"/>
    </w:rPr>
  </w:style>
  <w:style w:type="character" w:customStyle="1" w:styleId="a4">
    <w:name w:val="页眉 字符"/>
    <w:basedOn w:val="a0"/>
    <w:link w:val="a3"/>
    <w:uiPriority w:val="99"/>
    <w:rsid w:val="00E76244"/>
    <w:rPr>
      <w:sz w:val="18"/>
      <w:szCs w:val="18"/>
    </w:rPr>
  </w:style>
  <w:style w:type="paragraph" w:styleId="a5">
    <w:name w:val="footer"/>
    <w:basedOn w:val="a"/>
    <w:link w:val="a6"/>
    <w:uiPriority w:val="99"/>
    <w:unhideWhenUsed/>
    <w:rsid w:val="00E76244"/>
    <w:pPr>
      <w:tabs>
        <w:tab w:val="center" w:pos="4153"/>
        <w:tab w:val="right" w:pos="8306"/>
      </w:tabs>
      <w:autoSpaceDE/>
      <w:autoSpaceDN/>
      <w:snapToGrid w:val="0"/>
    </w:pPr>
    <w:rPr>
      <w:rFonts w:asciiTheme="minorHAnsi" w:eastAsiaTheme="minorEastAsia" w:hAnsiTheme="minorHAnsi" w:cstheme="minorBidi"/>
      <w:kern w:val="2"/>
      <w:sz w:val="18"/>
      <w:szCs w:val="18"/>
      <w:lang w:val="en-US" w:bidi="ar-SA"/>
    </w:rPr>
  </w:style>
  <w:style w:type="character" w:customStyle="1" w:styleId="a6">
    <w:name w:val="页脚 字符"/>
    <w:basedOn w:val="a0"/>
    <w:link w:val="a5"/>
    <w:uiPriority w:val="99"/>
    <w:rsid w:val="00E76244"/>
    <w:rPr>
      <w:sz w:val="18"/>
      <w:szCs w:val="18"/>
    </w:rPr>
  </w:style>
  <w:style w:type="table" w:styleId="a7">
    <w:name w:val="Table Grid"/>
    <w:basedOn w:val="a1"/>
    <w:uiPriority w:val="39"/>
    <w:qFormat/>
    <w:rsid w:val="00E76244"/>
    <w:rPr>
      <w:rFonts w:ascii="Calibri" w:eastAsia="宋体"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footnote reference"/>
    <w:unhideWhenUsed/>
    <w:qFormat/>
    <w:rsid w:val="00E76244"/>
    <w:rPr>
      <w:vertAlign w:val="superscript"/>
    </w:rPr>
  </w:style>
  <w:style w:type="paragraph" w:customStyle="1" w:styleId="11">
    <w:name w:val="征文标题1"/>
    <w:basedOn w:val="1"/>
    <w:link w:val="12"/>
    <w:qFormat/>
    <w:rsid w:val="00E76244"/>
    <w:pPr>
      <w:keepNext w:val="0"/>
      <w:keepLines w:val="0"/>
      <w:spacing w:before="61" w:after="0" w:line="240" w:lineRule="auto"/>
      <w:jc w:val="center"/>
    </w:pPr>
    <w:rPr>
      <w:rFonts w:ascii="黑体" w:eastAsia="黑体" w:hAnsi="黑体" w:cs="黑体"/>
      <w:bCs w:val="0"/>
      <w:color w:val="231F20"/>
      <w:kern w:val="0"/>
      <w:szCs w:val="36"/>
    </w:rPr>
  </w:style>
  <w:style w:type="paragraph" w:customStyle="1" w:styleId="a9">
    <w:name w:val="征文作者"/>
    <w:basedOn w:val="2"/>
    <w:link w:val="aa"/>
    <w:qFormat/>
    <w:rsid w:val="00E76244"/>
    <w:pPr>
      <w:keepNext w:val="0"/>
      <w:keepLines w:val="0"/>
      <w:spacing w:before="1" w:after="0" w:line="240" w:lineRule="auto"/>
      <w:ind w:left="1668" w:right="1668"/>
      <w:jc w:val="center"/>
    </w:pPr>
    <w:rPr>
      <w:rFonts w:ascii="楷体" w:eastAsia="楷体" w:hAnsi="楷体" w:cs="宋体"/>
      <w:b w:val="0"/>
      <w:bCs w:val="0"/>
      <w:color w:val="231F20"/>
      <w:sz w:val="30"/>
      <w:szCs w:val="30"/>
    </w:rPr>
  </w:style>
  <w:style w:type="character" w:customStyle="1" w:styleId="12">
    <w:name w:val="征文标题1 字符"/>
    <w:basedOn w:val="10"/>
    <w:link w:val="11"/>
    <w:qFormat/>
    <w:rsid w:val="00E76244"/>
    <w:rPr>
      <w:rFonts w:ascii="黑体" w:eastAsia="黑体" w:hAnsi="黑体" w:cs="黑体"/>
      <w:b/>
      <w:bCs w:val="0"/>
      <w:color w:val="231F20"/>
      <w:kern w:val="0"/>
      <w:sz w:val="44"/>
      <w:szCs w:val="36"/>
      <w:lang w:val="zh-CN" w:bidi="zh-CN"/>
    </w:rPr>
  </w:style>
  <w:style w:type="character" w:customStyle="1" w:styleId="aa">
    <w:name w:val="征文作者 字符"/>
    <w:basedOn w:val="20"/>
    <w:link w:val="a9"/>
    <w:qFormat/>
    <w:rsid w:val="00E76244"/>
    <w:rPr>
      <w:rFonts w:ascii="楷体" w:eastAsia="楷体" w:hAnsi="楷体" w:cs="宋体"/>
      <w:b w:val="0"/>
      <w:bCs w:val="0"/>
      <w:color w:val="231F20"/>
      <w:kern w:val="0"/>
      <w:sz w:val="30"/>
      <w:szCs w:val="30"/>
      <w:lang w:val="zh-CN" w:bidi="zh-CN"/>
    </w:rPr>
  </w:style>
  <w:style w:type="paragraph" w:customStyle="1" w:styleId="ab">
    <w:name w:val="征文一级标题"/>
    <w:basedOn w:val="a"/>
    <w:link w:val="ac"/>
    <w:qFormat/>
    <w:rsid w:val="00E76244"/>
    <w:pPr>
      <w:widowControl/>
      <w:spacing w:beforeLines="100" w:before="100" w:afterLines="100" w:after="100" w:line="480" w:lineRule="auto"/>
    </w:pPr>
    <w:rPr>
      <w:rFonts w:ascii="黑体" w:eastAsia="黑体" w:hAnsi="黑体"/>
      <w:b/>
      <w:bCs/>
      <w:sz w:val="36"/>
      <w:szCs w:val="36"/>
    </w:rPr>
  </w:style>
  <w:style w:type="paragraph" w:customStyle="1" w:styleId="ad">
    <w:name w:val="征文正文"/>
    <w:basedOn w:val="a"/>
    <w:link w:val="ae"/>
    <w:qFormat/>
    <w:rsid w:val="00E76244"/>
    <w:pPr>
      <w:widowControl/>
      <w:spacing w:line="300" w:lineRule="auto"/>
      <w:ind w:firstLineChars="200" w:firstLine="600"/>
      <w:jc w:val="both"/>
    </w:pPr>
    <w:rPr>
      <w:rFonts w:cs="方正仿宋_GBK"/>
      <w:sz w:val="30"/>
      <w:szCs w:val="30"/>
    </w:rPr>
  </w:style>
  <w:style w:type="paragraph" w:customStyle="1" w:styleId="af">
    <w:name w:val="征文二级"/>
    <w:basedOn w:val="a"/>
    <w:qFormat/>
    <w:rsid w:val="00E76244"/>
    <w:pPr>
      <w:widowControl/>
      <w:spacing w:line="480" w:lineRule="auto"/>
      <w:ind w:firstLineChars="200" w:firstLine="643"/>
    </w:pPr>
    <w:rPr>
      <w:rFonts w:eastAsia="黑体"/>
      <w:b/>
      <w:sz w:val="32"/>
      <w:szCs w:val="32"/>
    </w:rPr>
  </w:style>
  <w:style w:type="paragraph" w:customStyle="1" w:styleId="af0">
    <w:name w:val="征文脚注"/>
    <w:basedOn w:val="af1"/>
    <w:qFormat/>
    <w:rsid w:val="00E76244"/>
    <w:pPr>
      <w:autoSpaceDE/>
      <w:autoSpaceDN/>
    </w:pPr>
    <w:rPr>
      <w:rFonts w:ascii="Calibri" w:eastAsia="楷体" w:hAnsi="Calibri" w:cs="Times New Roman"/>
      <w:kern w:val="2"/>
      <w:lang w:val="en-US" w:bidi="ar-SA"/>
    </w:rPr>
  </w:style>
  <w:style w:type="character" w:customStyle="1" w:styleId="ac">
    <w:name w:val="征文一级标题 字符"/>
    <w:basedOn w:val="a0"/>
    <w:link w:val="ab"/>
    <w:rsid w:val="00E76244"/>
    <w:rPr>
      <w:rFonts w:ascii="黑体" w:eastAsia="黑体" w:hAnsi="黑体" w:cs="宋体"/>
      <w:b/>
      <w:bCs/>
      <w:kern w:val="0"/>
      <w:sz w:val="36"/>
      <w:szCs w:val="36"/>
      <w:lang w:val="zh-CN" w:bidi="zh-CN"/>
    </w:rPr>
  </w:style>
  <w:style w:type="character" w:customStyle="1" w:styleId="ae">
    <w:name w:val="征文正文 字符"/>
    <w:basedOn w:val="a0"/>
    <w:link w:val="ad"/>
    <w:rsid w:val="00E76244"/>
    <w:rPr>
      <w:rFonts w:ascii="宋体" w:eastAsia="宋体" w:hAnsi="宋体" w:cs="方正仿宋_GBK"/>
      <w:kern w:val="0"/>
      <w:sz w:val="30"/>
      <w:szCs w:val="30"/>
      <w:lang w:val="zh-CN" w:bidi="zh-CN"/>
    </w:rPr>
  </w:style>
  <w:style w:type="character" w:customStyle="1" w:styleId="10">
    <w:name w:val="标题 1 字符"/>
    <w:basedOn w:val="a0"/>
    <w:link w:val="1"/>
    <w:uiPriority w:val="9"/>
    <w:rsid w:val="00E76244"/>
    <w:rPr>
      <w:rFonts w:ascii="宋体" w:eastAsia="宋体" w:hAnsi="宋体" w:cs="宋体"/>
      <w:b/>
      <w:bCs/>
      <w:kern w:val="44"/>
      <w:sz w:val="44"/>
      <w:szCs w:val="44"/>
      <w:lang w:val="zh-CN" w:bidi="zh-CN"/>
    </w:rPr>
  </w:style>
  <w:style w:type="character" w:customStyle="1" w:styleId="20">
    <w:name w:val="标题 2 字符"/>
    <w:basedOn w:val="a0"/>
    <w:link w:val="2"/>
    <w:uiPriority w:val="9"/>
    <w:semiHidden/>
    <w:rsid w:val="00E76244"/>
    <w:rPr>
      <w:rFonts w:asciiTheme="majorHAnsi" w:eastAsiaTheme="majorEastAsia" w:hAnsiTheme="majorHAnsi" w:cstheme="majorBidi"/>
      <w:b/>
      <w:bCs/>
      <w:kern w:val="0"/>
      <w:sz w:val="32"/>
      <w:szCs w:val="32"/>
      <w:lang w:val="zh-CN" w:bidi="zh-CN"/>
    </w:rPr>
  </w:style>
  <w:style w:type="paragraph" w:styleId="af1">
    <w:name w:val="footnote text"/>
    <w:basedOn w:val="a"/>
    <w:link w:val="af2"/>
    <w:uiPriority w:val="99"/>
    <w:semiHidden/>
    <w:unhideWhenUsed/>
    <w:rsid w:val="00E76244"/>
    <w:pPr>
      <w:snapToGrid w:val="0"/>
    </w:pPr>
    <w:rPr>
      <w:sz w:val="18"/>
      <w:szCs w:val="18"/>
    </w:rPr>
  </w:style>
  <w:style w:type="character" w:customStyle="1" w:styleId="af2">
    <w:name w:val="脚注文本 字符"/>
    <w:basedOn w:val="a0"/>
    <w:link w:val="af1"/>
    <w:uiPriority w:val="99"/>
    <w:semiHidden/>
    <w:rsid w:val="00E76244"/>
    <w:rPr>
      <w:rFonts w:ascii="宋体" w:eastAsia="宋体" w:hAnsi="宋体" w:cs="宋体"/>
      <w:kern w:val="0"/>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848</Words>
  <Characters>4834</Characters>
  <Application>Microsoft Office Word</Application>
  <DocSecurity>0</DocSecurity>
  <Lines>40</Lines>
  <Paragraphs>11</Paragraphs>
  <ScaleCrop>false</ScaleCrop>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小平 江</dc:creator>
  <cp:keywords/>
  <dc:description/>
  <cp:lastModifiedBy>Ra2 Re-code</cp:lastModifiedBy>
  <cp:revision>5</cp:revision>
  <dcterms:created xsi:type="dcterms:W3CDTF">2022-03-21T01:23:00Z</dcterms:created>
  <dcterms:modified xsi:type="dcterms:W3CDTF">2022-03-31T07:56:00Z</dcterms:modified>
</cp:coreProperties>
</file>